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t>NÁJEMNÍ SMLOUVA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026FCF" wp14:editId="7888138A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E85D22" w:rsidRPr="002E008B" w:rsidRDefault="00E85D22" w:rsidP="00E85D22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 xml:space="preserve">, bytem </w:t>
      </w:r>
      <w:r w:rsidR="00AD10FB">
        <w:rPr>
          <w:rFonts w:cstheme="minorHAnsi"/>
          <w:i/>
          <w:color w:val="000000" w:themeColor="text1"/>
        </w:rPr>
        <w:t>Proboštov 417 12, Na lučinách 768</w:t>
      </w:r>
    </w:p>
    <w:p w:rsidR="00E85D22" w:rsidRPr="002E008B" w:rsidRDefault="00E85D22" w:rsidP="00E85D22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E85D22" w:rsidRPr="005310E3" w:rsidRDefault="00565F6F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Tereza ELIÁŠOVÁ</w:t>
      </w:r>
      <w:r w:rsidR="00E85D22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RČ:</w:t>
      </w:r>
      <w:r w:rsidR="00E85D2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93 53 16/2962</w:t>
      </w:r>
      <w:r w:rsidR="00E85D22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</w:t>
      </w:r>
    </w:p>
    <w:p w:rsidR="00E85D22" w:rsidRPr="005310E3" w:rsidRDefault="006150B4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Bydliště</w:t>
      </w:r>
      <w:r w:rsidR="00E85D22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: </w:t>
      </w:r>
      <w:r w:rsidR="00565F6F">
        <w:rPr>
          <w:rFonts w:eastAsia="Times New Roman" w:cstheme="minorHAnsi"/>
          <w:color w:val="000000" w:themeColor="text1"/>
          <w:sz w:val="24"/>
          <w:szCs w:val="24"/>
          <w:lang w:eastAsia="cs-CZ"/>
        </w:rPr>
        <w:t>Jateční 1837, byt č. 7, 415 03</w:t>
      </w:r>
      <w:r w:rsidR="00E85D22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Teplice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číslo účtu: </w:t>
      </w:r>
      <w:r w:rsidR="0070326C">
        <w:rPr>
          <w:rFonts w:cstheme="minorHAnsi"/>
        </w:rPr>
        <w:t>7454586001/5500</w:t>
      </w:r>
      <w:r w:rsidR="0055115A">
        <w:rPr>
          <w:rFonts w:cstheme="minorHAnsi"/>
        </w:rPr>
        <w:t>,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e-mail:</w:t>
      </w:r>
      <w:r w:rsidR="0070326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teliasova@gmail</w:t>
      </w:r>
      <w:r w:rsidR="0070326C">
        <w:rPr>
          <w:rFonts w:cstheme="minorHAnsi"/>
        </w:rPr>
        <w:t>.com</w:t>
      </w:r>
      <w:r w:rsidR="00B02E54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B02E54" w:rsidRPr="00B02E54">
        <w:rPr>
          <w:rFonts w:eastAsia="Times New Roman" w:cstheme="minorHAnsi"/>
          <w:sz w:val="24"/>
          <w:szCs w:val="24"/>
          <w:lang w:eastAsia="cs-CZ"/>
        </w:rPr>
        <w:t>.</w:t>
      </w:r>
      <w:r w:rsidRPr="00B02E5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E85D22" w:rsidRPr="0070326C" w:rsidRDefault="0070326C" w:rsidP="0070326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E5EFA">
        <w:rPr>
          <w:rFonts w:eastAsia="Times New Roman" w:cstheme="minorHAnsi"/>
          <w:b/>
          <w:sz w:val="24"/>
          <w:szCs w:val="24"/>
          <w:lang w:eastAsia="cs-CZ"/>
        </w:rPr>
        <w:t>Matěj Růžička</w:t>
      </w:r>
      <w:r w:rsidR="00E70046">
        <w:rPr>
          <w:rFonts w:eastAsia="Times New Roman" w:cstheme="minorHAnsi"/>
          <w:sz w:val="24"/>
          <w:szCs w:val="24"/>
          <w:lang w:eastAsia="cs-CZ"/>
        </w:rPr>
        <w:t>, RČ: 95</w:t>
      </w:r>
      <w:r>
        <w:rPr>
          <w:rFonts w:eastAsia="Times New Roman" w:cstheme="minorHAnsi"/>
          <w:sz w:val="24"/>
          <w:szCs w:val="24"/>
          <w:lang w:eastAsia="cs-CZ"/>
        </w:rPr>
        <w:t xml:space="preserve"> 12 30/3152</w:t>
      </w:r>
    </w:p>
    <w:p w:rsidR="00E85D22" w:rsidRPr="00130FD3" w:rsidRDefault="00E85D22" w:rsidP="00E85D22">
      <w:pPr>
        <w:pStyle w:val="Odstavecseseznamem"/>
        <w:autoSpaceDE w:val="0"/>
        <w:autoSpaceDN w:val="0"/>
        <w:adjustRightInd w:val="0"/>
        <w:spacing w:before="120" w:after="0"/>
        <w:ind w:left="1080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E85D22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E85D22" w:rsidRPr="00047167" w:rsidRDefault="00E85D22" w:rsidP="00E85D22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Pronajímatel je výlučným vlastníkem nemovité věci, a to: </w:t>
      </w:r>
    </w:p>
    <w:p w:rsidR="00E85D22" w:rsidRPr="00047167" w:rsidRDefault="00E85D22" w:rsidP="00E85D22">
      <w:pPr>
        <w:pStyle w:val="Odstavecseseznamem"/>
        <w:spacing w:after="0" w:line="240" w:lineRule="auto"/>
        <w:ind w:left="397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color w:val="000000" w:themeColor="text1"/>
        </w:rPr>
        <w:t xml:space="preserve">    pozemku p. č. 3840 (</w:t>
      </w:r>
      <w:r w:rsidRPr="00047167">
        <w:rPr>
          <w:rFonts w:cstheme="minorHAnsi"/>
          <w:i/>
          <w:color w:val="000000" w:themeColor="text1"/>
        </w:rPr>
        <w:t xml:space="preserve">druh pozemku - zastavěná plocha a nádvoří, jehož součástí je stavba </w:t>
      </w:r>
    </w:p>
    <w:p w:rsidR="00E85D22" w:rsidRPr="00047167" w:rsidRDefault="00E85D22" w:rsidP="00E85D22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i/>
          <w:color w:val="000000" w:themeColor="text1"/>
        </w:rPr>
        <w:t xml:space="preserve">            s čísla popisným – č. p. 1837, objekt k bydlení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1837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3840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3841 (</w:t>
      </w:r>
      <w:r w:rsidRPr="00047167">
        <w:rPr>
          <w:rFonts w:cstheme="minorHAnsi"/>
          <w:i/>
          <w:color w:val="000000" w:themeColor="text1"/>
        </w:rPr>
        <w:t>druh pozemku - zastavěná plocha a nádvoří, jehož součástí je stavba s čísla popisným – č. p. 1836, objekt k bydlení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1836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3841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3842/1 (druh pozemku - ostatní plocha),</w:t>
      </w:r>
    </w:p>
    <w:p w:rsidR="00E85D22" w:rsidRDefault="00E85D22" w:rsidP="00E85D22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E85D22" w:rsidRDefault="00E85D22" w:rsidP="00E85D22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vše zapsané na LV č. 6523</w:t>
      </w:r>
      <w:r w:rsidRPr="00B23A62">
        <w:rPr>
          <w:rFonts w:cstheme="minorHAnsi"/>
        </w:rPr>
        <w:t xml:space="preserve"> u katastrálního úřadu pro Ústecký kraj, krajské pracoviště Teplice, </w:t>
      </w:r>
      <w:r>
        <w:rPr>
          <w:rFonts w:cstheme="minorHAnsi"/>
        </w:rPr>
        <w:t xml:space="preserve">   </w:t>
      </w:r>
    </w:p>
    <w:p w:rsidR="00E85D22" w:rsidRPr="005B787E" w:rsidRDefault="00E85D22" w:rsidP="00E85D22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B23A62">
        <w:rPr>
          <w:rFonts w:cstheme="minorHAnsi"/>
        </w:rPr>
        <w:t>katastrální úřad Teplice.</w:t>
      </w:r>
    </w:p>
    <w:p w:rsidR="00B6559D" w:rsidRPr="00B6559D" w:rsidRDefault="00E85D22" w:rsidP="00E85D22">
      <w:pPr>
        <w:pStyle w:val="Odstavecseseznamem"/>
        <w:numPr>
          <w:ilvl w:val="0"/>
          <w:numId w:val="16"/>
        </w:num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8475C">
        <w:rPr>
          <w:rFonts w:cstheme="minorHAnsi"/>
          <w:sz w:val="24"/>
          <w:szCs w:val="24"/>
          <w:lang w:bidi="en-US"/>
        </w:rPr>
        <w:t xml:space="preserve">Předmětem této </w:t>
      </w:r>
      <w:r w:rsidRPr="0008475C">
        <w:rPr>
          <w:rFonts w:cstheme="minorHAnsi"/>
          <w:b/>
          <w:sz w:val="24"/>
          <w:szCs w:val="24"/>
          <w:lang w:bidi="en-US"/>
        </w:rPr>
        <w:t>s</w:t>
      </w:r>
      <w:r w:rsidRPr="0008475C">
        <w:rPr>
          <w:rFonts w:cstheme="minorHAnsi"/>
          <w:sz w:val="24"/>
          <w:szCs w:val="24"/>
          <w:lang w:bidi="en-US"/>
        </w:rPr>
        <w:t xml:space="preserve">mlouvy je nájem bytu. </w:t>
      </w:r>
      <w:r w:rsidRPr="0008475C">
        <w:rPr>
          <w:rFonts w:cstheme="minorHAnsi"/>
          <w:b/>
          <w:sz w:val="24"/>
          <w:szCs w:val="24"/>
          <w:lang w:bidi="en-US"/>
        </w:rPr>
        <w:t>P</w:t>
      </w:r>
      <w:r w:rsidRPr="0008475C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08475C">
        <w:rPr>
          <w:rFonts w:cstheme="minorHAnsi"/>
          <w:sz w:val="24"/>
          <w:szCs w:val="24"/>
        </w:rPr>
        <w:t>k 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dočasnému užívání </w:t>
      </w:r>
      <w:r w:rsidRPr="00047167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047167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byt </w:t>
      </w:r>
      <w:r w:rsidR="006A0BFA">
        <w:rPr>
          <w:rFonts w:cstheme="minorHAnsi"/>
          <w:color w:val="000000" w:themeColor="text1"/>
          <w:sz w:val="24"/>
          <w:szCs w:val="24"/>
        </w:rPr>
        <w:t>č. 7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, o velikosti </w:t>
      </w:r>
      <w:r w:rsidR="00B6559D">
        <w:rPr>
          <w:rFonts w:cstheme="minorHAnsi"/>
          <w:color w:val="000000" w:themeColor="text1"/>
          <w:sz w:val="24"/>
          <w:szCs w:val="24"/>
        </w:rPr>
        <w:t>2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 + 1</w:t>
      </w:r>
      <w:r w:rsidR="006A0BFA">
        <w:rPr>
          <w:rFonts w:eastAsia="Calibri" w:cstheme="minorHAnsi"/>
          <w:color w:val="000000" w:themeColor="text1"/>
          <w:sz w:val="24"/>
          <w:szCs w:val="24"/>
        </w:rPr>
        <w:t>, nacházející se ve 4. NP</w:t>
      </w:r>
      <w:r w:rsidR="00B6559D">
        <w:rPr>
          <w:rFonts w:eastAsia="Calibri" w:cstheme="minorHAnsi"/>
          <w:color w:val="000000" w:themeColor="text1"/>
          <w:sz w:val="24"/>
          <w:szCs w:val="24"/>
        </w:rPr>
        <w:t xml:space="preserve"> domu č. p. 1837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na adrese ul. Jateční, Teplice, který je ve výlučném vlastnictví </w:t>
      </w:r>
      <w:r w:rsidRPr="00047167">
        <w:rPr>
          <w:rFonts w:cstheme="minorHAnsi"/>
          <w:b/>
          <w:color w:val="000000" w:themeColor="text1"/>
          <w:sz w:val="24"/>
          <w:szCs w:val="24"/>
        </w:rPr>
        <w:t>p</w:t>
      </w:r>
      <w:r w:rsidRPr="00047167">
        <w:rPr>
          <w:rFonts w:cstheme="minorHAnsi"/>
          <w:color w:val="000000" w:themeColor="text1"/>
          <w:sz w:val="24"/>
          <w:szCs w:val="24"/>
        </w:rPr>
        <w:t>ronajímatele (dále jen „</w:t>
      </w:r>
      <w:r w:rsidRPr="00047167">
        <w:rPr>
          <w:rFonts w:cstheme="minorHAnsi"/>
          <w:b/>
          <w:color w:val="000000" w:themeColor="text1"/>
          <w:sz w:val="24"/>
          <w:szCs w:val="24"/>
        </w:rPr>
        <w:t>byt</w:t>
      </w:r>
      <w:r w:rsidRPr="00047167">
        <w:rPr>
          <w:rFonts w:cstheme="minorHAnsi"/>
          <w:color w:val="000000" w:themeColor="text1"/>
          <w:sz w:val="24"/>
          <w:szCs w:val="24"/>
        </w:rPr>
        <w:t>“)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>.</w:t>
      </w:r>
    </w:p>
    <w:p w:rsidR="00E85D22" w:rsidRDefault="00E85D22" w:rsidP="00B6559D">
      <w:pPr>
        <w:pStyle w:val="Odstavecseseznamem"/>
        <w:spacing w:line="240" w:lineRule="auto"/>
        <w:ind w:left="644"/>
        <w:rPr>
          <w:rFonts w:eastAsia="Calibri" w:cstheme="minorHAnsi"/>
          <w:color w:val="000000" w:themeColor="text1"/>
          <w:sz w:val="24"/>
          <w:szCs w:val="24"/>
        </w:rPr>
      </w:pPr>
    </w:p>
    <w:p w:rsidR="0070326C" w:rsidRPr="00A034FE" w:rsidRDefault="0070326C" w:rsidP="00A034FE">
      <w:p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</w:p>
    <w:p w:rsidR="00E85D22" w:rsidRPr="00FA7C6F" w:rsidRDefault="00E85D22" w:rsidP="00E85D2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</w:t>
      </w:r>
      <w:r w:rsidR="00A034FE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</w:t>
      </w:r>
      <w:r w:rsidRPr="00FA7C6F">
        <w:rPr>
          <w:rFonts w:cstheme="minorHAnsi"/>
          <w:b/>
          <w:sz w:val="24"/>
          <w:szCs w:val="24"/>
        </w:rPr>
        <w:t>P</w:t>
      </w:r>
      <w:r w:rsidRPr="00FA7C6F">
        <w:rPr>
          <w:rFonts w:cstheme="minorHAnsi"/>
          <w:sz w:val="24"/>
          <w:szCs w:val="24"/>
        </w:rPr>
        <w:t>ronajímatel</w:t>
      </w:r>
      <w:r w:rsidRPr="00FA7C6F">
        <w:rPr>
          <w:rFonts w:eastAsia="Calibri" w:cstheme="minorHAnsi"/>
          <w:sz w:val="24"/>
          <w:szCs w:val="24"/>
        </w:rPr>
        <w:t xml:space="preserve"> tímto přenechává nájemci </w:t>
      </w:r>
      <w:r w:rsidRPr="00FA7C6F">
        <w:rPr>
          <w:rFonts w:eastAsia="Calibri" w:cstheme="minorHAnsi"/>
          <w:b/>
          <w:sz w:val="24"/>
          <w:szCs w:val="24"/>
        </w:rPr>
        <w:t>b</w:t>
      </w:r>
      <w:r w:rsidRPr="00FA7C6F">
        <w:rPr>
          <w:rFonts w:eastAsia="Calibri" w:cstheme="minorHAnsi"/>
          <w:sz w:val="24"/>
          <w:szCs w:val="24"/>
        </w:rPr>
        <w:t xml:space="preserve">yt do užívání za </w:t>
      </w:r>
      <w:r w:rsidRPr="00FA7C6F">
        <w:rPr>
          <w:rFonts w:cstheme="minorHAnsi"/>
          <w:sz w:val="24"/>
          <w:szCs w:val="24"/>
        </w:rPr>
        <w:t>p</w:t>
      </w:r>
      <w:r w:rsidRPr="00FA7C6F">
        <w:rPr>
          <w:rFonts w:eastAsia="Calibri" w:cstheme="minorHAnsi"/>
          <w:sz w:val="24"/>
          <w:szCs w:val="24"/>
        </w:rPr>
        <w:t xml:space="preserve">odmínek stanovených touto    </w:t>
      </w:r>
    </w:p>
    <w:p w:rsidR="00E85D22" w:rsidRDefault="00E85D22" w:rsidP="00E85D22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mlouvou a </w:t>
      </w:r>
      <w:r w:rsidRPr="00A91B50">
        <w:rPr>
          <w:rFonts w:cstheme="minorHAnsi"/>
          <w:sz w:val="24"/>
          <w:szCs w:val="24"/>
        </w:rPr>
        <w:t>příslušných právních předpisů</w:t>
      </w:r>
      <w:r w:rsidRPr="00A91B50">
        <w:rPr>
          <w:rFonts w:eastAsia="Calibri" w:cstheme="minorHAnsi"/>
          <w:sz w:val="24"/>
          <w:szCs w:val="24"/>
        </w:rPr>
        <w:t xml:space="preserve">. </w:t>
      </w:r>
      <w:r w:rsidRPr="00A91B50">
        <w:rPr>
          <w:rFonts w:eastAsia="Calibri" w:cstheme="minorHAnsi"/>
          <w:b/>
          <w:sz w:val="24"/>
          <w:szCs w:val="24"/>
        </w:rPr>
        <w:t>N</w:t>
      </w:r>
      <w:r w:rsidRPr="00A91B50">
        <w:rPr>
          <w:rFonts w:eastAsia="Calibri" w:cstheme="minorHAnsi"/>
          <w:sz w:val="24"/>
          <w:szCs w:val="24"/>
        </w:rPr>
        <w:t xml:space="preserve">ájemce </w:t>
      </w:r>
      <w:r w:rsidRPr="00A91B50">
        <w:rPr>
          <w:rFonts w:eastAsia="Calibri" w:cstheme="minorHAnsi"/>
          <w:b/>
          <w:sz w:val="24"/>
          <w:szCs w:val="24"/>
        </w:rPr>
        <w:t>b</w:t>
      </w:r>
      <w:r w:rsidRPr="00A91B50">
        <w:rPr>
          <w:rFonts w:eastAsia="Calibri" w:cstheme="minorHAnsi"/>
          <w:sz w:val="24"/>
          <w:szCs w:val="24"/>
        </w:rPr>
        <w:t xml:space="preserve">yt přijímá do svého užívání a </w:t>
      </w:r>
      <w:r>
        <w:rPr>
          <w:rFonts w:eastAsia="Calibri" w:cstheme="minorHAnsi"/>
          <w:sz w:val="24"/>
          <w:szCs w:val="24"/>
        </w:rPr>
        <w:t xml:space="preserve"> </w:t>
      </w:r>
    </w:p>
    <w:p w:rsidR="00E85D22" w:rsidRPr="00A91B50" w:rsidRDefault="00E85D22" w:rsidP="00E85D2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</w:t>
      </w:r>
      <w:r w:rsidRPr="00A91B50">
        <w:rPr>
          <w:rFonts w:eastAsia="Calibri" w:cstheme="minorHAnsi"/>
          <w:sz w:val="24"/>
          <w:szCs w:val="24"/>
        </w:rPr>
        <w:t>zavazuje</w:t>
      </w:r>
      <w:r w:rsidRPr="00A91B50">
        <w:rPr>
          <w:rFonts w:cstheme="minorHAnsi"/>
          <w:sz w:val="24"/>
          <w:szCs w:val="24"/>
        </w:rPr>
        <w:t xml:space="preserve"> se</w:t>
      </w:r>
      <w:r w:rsidRPr="00A91B50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mlouvy. </w:t>
      </w:r>
    </w:p>
    <w:p w:rsidR="00E85D22" w:rsidRPr="002E008B" w:rsidRDefault="00E85D22" w:rsidP="00E85D22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E85D22" w:rsidRPr="002E008B" w:rsidRDefault="00E85D22" w:rsidP="00E85D2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E85D22" w:rsidRPr="00047167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mlouva se uzavírá na dobu určitou, a to na dobu od </w:t>
      </w:r>
      <w:r w:rsidR="0070646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1. 8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do </w:t>
      </w:r>
      <w:r w:rsidR="0070326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31. 7. 2022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s účinností od </w:t>
      </w:r>
      <w:r w:rsidR="0070646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70646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účastníků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mlouvy stanovena na 6</w:t>
      </w:r>
      <w:r w:rsidR="0070326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7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0 Kč </w:t>
      </w:r>
    </w:p>
    <w:p w:rsidR="00E85D22" w:rsidRPr="00047167" w:rsidRDefault="00E85D22" w:rsidP="00E85D2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(</w:t>
      </w:r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="0070326C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šesttisícsedmset</w:t>
      </w:r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)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splatné k 15. Dni příslušného </w:t>
      </w:r>
    </w:p>
    <w:p w:rsidR="00E85D22" w:rsidRPr="00857404" w:rsidRDefault="00E85D22" w:rsidP="00E85D2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měsíce.</w:t>
      </w: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E85D22" w:rsidRPr="00B242E2" w:rsidRDefault="00E85D22" w:rsidP="00E85D22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E85D22" w:rsidRPr="00B242E2" w:rsidRDefault="00E85D22" w:rsidP="00E85D22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E85D22" w:rsidRPr="00B242E2" w:rsidRDefault="00E85D22" w:rsidP="00E85D22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je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po vzájemné dohodě </w:t>
      </w:r>
      <w:r w:rsidR="0070326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stanovena na částku ve výši 84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 Kč/</w:t>
      </w:r>
      <w:r w:rsidR="0070326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 osoby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="0070326C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osmset</w:t>
      </w:r>
      <w:r w:rsidR="002D1823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čtyřicet</w:t>
      </w:r>
      <w:bookmarkStart w:id="0" w:name="_GoBack"/>
      <w:bookmarkEnd w:id="0"/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splatná k 15. dni příslušného měsíce. Celkový přehled a rozpis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álohy je uveden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E85D22" w:rsidRPr="00B242E2" w:rsidRDefault="00E85D22" w:rsidP="00E85D2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E85D22" w:rsidRPr="00B242E2" w:rsidRDefault="00E85D22" w:rsidP="00E85D22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B242E2" w:rsidRDefault="00E85D22" w:rsidP="00E85D22">
      <w:pPr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E85D22" w:rsidRPr="00B242E2" w:rsidRDefault="00E85D22" w:rsidP="00E85D2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E85D22" w:rsidRPr="00B242E2" w:rsidRDefault="00E85D22" w:rsidP="00E85D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E85D22" w:rsidRPr="00B242E2" w:rsidRDefault="00E85D22" w:rsidP="00E85D2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="004B6F4C">
        <w:rPr>
          <w:rFonts w:eastAsia="Times New Roman" w:cstheme="minorHAnsi"/>
          <w:sz w:val="24"/>
          <w:szCs w:val="24"/>
          <w:lang w:eastAsia="cs-CZ"/>
        </w:rPr>
        <w:t>8 000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6A426A">
        <w:rPr>
          <w:rFonts w:eastAsia="Times New Roman" w:cstheme="minorHAnsi"/>
          <w:sz w:val="24"/>
          <w:szCs w:val="24"/>
          <w:lang w:eastAsia="cs-CZ"/>
        </w:rPr>
        <w:t>Kč</w:t>
      </w:r>
      <w:r w:rsidR="004B6F4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(osmtisíckorunčeských).</w:t>
      </w:r>
    </w:p>
    <w:p w:rsidR="00E85D22" w:rsidRPr="00B242E2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J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istota slouží na případné uhrazení pohledávek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ronajímatele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E85D22" w:rsidRPr="00B242E2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B242E2" w:rsidRDefault="00E85D22" w:rsidP="00E85D22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E85D22" w:rsidRPr="00B242E2" w:rsidRDefault="00E85D22" w:rsidP="00E85D22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E85D22" w:rsidRPr="00B242E2" w:rsidRDefault="00A80A76" w:rsidP="00E85D22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9" w:history="1">
        <w:r w:rsidR="00E85D22"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="00E85D22"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E85D22" w:rsidRPr="00B242E2" w:rsidRDefault="00E85D22" w:rsidP="00E85D22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A034FE" w:rsidRDefault="00E85D22" w:rsidP="003C418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Nájemce je povinen vykonávat </w:t>
      </w:r>
      <w:proofErr w:type="gramStart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pravidelný  úklid</w:t>
      </w:r>
      <w:proofErr w:type="gramEnd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 xml:space="preserve">  společných  prostor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domě, jenž se byt nachází,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a to nejméně 1x týdně 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střídavě dle dohody mezi nájemníky domu. Jedná se zejména o úklid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následujících prostor: chodba a 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schody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</w:t>
      </w:r>
      <w:r w:rsidR="00A034FE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a chodba k zadnímu vchodu domu</w:t>
      </w:r>
      <w:r w:rsidR="00A80DFA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</w:t>
      </w:r>
      <w:r w:rsidR="00A034FE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zábradlí, okno, 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vchodové dveře do domu, um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ytí schránek,</w:t>
      </w:r>
      <w:r w:rsidR="00A80DFA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pokud tak nebude činit 1x týdně úklidová služba.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</w:t>
      </w:r>
    </w:p>
    <w:p w:rsidR="00C53F32" w:rsidRPr="00A80DFA" w:rsidRDefault="00A80DFA" w:rsidP="003C418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Ú</w:t>
      </w:r>
      <w:r w:rsidR="003C4187" w:rsidRPr="00A80DFA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klid před domem</w:t>
      </w:r>
      <w:r w:rsidR="00A034FE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 a za domem</w:t>
      </w:r>
      <w:r w:rsidR="003C4187" w:rsidRPr="00A80DFA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 (</w:t>
      </w:r>
      <w:r w:rsidR="00E85D22" w:rsidRPr="00A80DFA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úklid chodníku, v zimě odstranění sněhu</w:t>
      </w:r>
      <w:r w:rsidR="003C4187" w:rsidRPr="00A80DFA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, schody za domem</w:t>
      </w:r>
      <w:r w:rsidR="00A034FE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 a prostory na parkovišti určeném pro nájemníky  </w:t>
      </w:r>
      <w:proofErr w:type="spellStart"/>
      <w:r w:rsidR="00A034FE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úklízí</w:t>
      </w:r>
      <w:proofErr w:type="spellEnd"/>
      <w:r w:rsidR="00A034FE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 nájemníci </w:t>
      </w:r>
      <w:proofErr w:type="gramStart"/>
      <w:r w:rsidR="00A034FE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domu) </w:t>
      </w:r>
      <w:r w:rsidR="00E85D22" w:rsidRPr="00A80DFA"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  <w:t>.</w:t>
      </w:r>
      <w:proofErr w:type="gramEnd"/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F5461" w:rsidRDefault="006F5461" w:rsidP="00E85D22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A034FE" w:rsidRPr="00B242E2" w:rsidRDefault="00A034FE" w:rsidP="00E85D22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E85D22" w:rsidRPr="00B242E2" w:rsidRDefault="00E85D22" w:rsidP="00A034FE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E85D22" w:rsidRPr="00B242E2" w:rsidRDefault="00E85D22" w:rsidP="00E85D22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E85D22" w:rsidRPr="00B242E2" w:rsidRDefault="00E85D22" w:rsidP="00E85D22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E85D22" w:rsidRPr="00B242E2" w:rsidRDefault="00E85D22" w:rsidP="00E85D22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numPr>
          <w:ilvl w:val="0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je povinen uzavřít pojistnou smlouvu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bCs/>
          <w:i/>
          <w:color w:val="000000" w:themeColor="text1"/>
          <w:sz w:val="24"/>
          <w:szCs w:val="24"/>
          <w:lang w:eastAsia="cs-CZ"/>
        </w:rPr>
        <w:t>Česká pojišťovna, Allianz pojišťovna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) na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E85D22" w:rsidRPr="00B242E2" w:rsidRDefault="00E85D22" w:rsidP="00E85D2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E85D2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E007C3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kvalitní bílou barvou, popřípadě jinou barvou se souhlasem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ronajímatele.</w:t>
      </w:r>
    </w:p>
    <w:p w:rsidR="00E85D22" w:rsidRPr="00E007C3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Byt bude řádně uklizen včetně koupelny s WC a včetně kuchyňské linky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 plynovou či elektrickou troubou.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A034FE" w:rsidRDefault="00E85D22" w:rsidP="00E85D2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</w:p>
    <w:p w:rsidR="00E85D22" w:rsidRPr="00B242E2" w:rsidRDefault="00E85D22" w:rsidP="00A034FE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E85D22" w:rsidRPr="00B242E2" w:rsidRDefault="00E85D22" w:rsidP="00E85D2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E85D22" w:rsidRPr="00B242E2" w:rsidRDefault="00E85D22" w:rsidP="00E85D22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E85D22" w:rsidRPr="00B242E2" w:rsidRDefault="00E85D22" w:rsidP="00E85D2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E85D22" w:rsidRPr="00B242E2" w:rsidRDefault="00E85D22" w:rsidP="00E85D2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Teplicích dne </w:t>
      </w:r>
      <w:r w:rsidR="008E7EA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1. 8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A034FE" w:rsidRPr="00B242E2" w:rsidRDefault="00A034FE" w:rsidP="00E85D2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E85D22" w:rsidRPr="00B242E2" w:rsidRDefault="00E85D22" w:rsidP="00E85D22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E85D22" w:rsidRPr="00B242E2" w:rsidSect="00A66F01">
          <w:footerReference w:type="defaul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9122EA" w:rsidRDefault="00A80A76"/>
    <w:sectPr w:rsidR="0091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76" w:rsidRDefault="00A80A76">
      <w:pPr>
        <w:spacing w:after="0" w:line="240" w:lineRule="auto"/>
      </w:pPr>
      <w:r>
        <w:separator/>
      </w:r>
    </w:p>
  </w:endnote>
  <w:endnote w:type="continuationSeparator" w:id="0">
    <w:p w:rsidR="00A80A76" w:rsidRDefault="00A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80A76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3C4187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2D1823" w:rsidRPr="002D1823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80A76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80A76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A80A76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80A76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A80A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76" w:rsidRDefault="00A80A76">
      <w:pPr>
        <w:spacing w:after="0" w:line="240" w:lineRule="auto"/>
      </w:pPr>
      <w:r>
        <w:separator/>
      </w:r>
    </w:p>
  </w:footnote>
  <w:footnote w:type="continuationSeparator" w:id="0">
    <w:p w:rsidR="00A80A76" w:rsidRDefault="00A80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338625B"/>
    <w:multiLevelType w:val="hybridMultilevel"/>
    <w:tmpl w:val="D902B2E0"/>
    <w:lvl w:ilvl="0" w:tplc="ABD48DD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844867"/>
    <w:multiLevelType w:val="hybridMultilevel"/>
    <w:tmpl w:val="F52AD372"/>
    <w:lvl w:ilvl="0" w:tplc="60AC3EC2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43D6"/>
    <w:multiLevelType w:val="hybridMultilevel"/>
    <w:tmpl w:val="5A749F0C"/>
    <w:lvl w:ilvl="0" w:tplc="2EAA9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EA575D3"/>
    <w:multiLevelType w:val="hybridMultilevel"/>
    <w:tmpl w:val="48C65928"/>
    <w:lvl w:ilvl="0" w:tplc="90A0BAF8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9"/>
  </w:num>
  <w:num w:numId="5">
    <w:abstractNumId w:val="11"/>
  </w:num>
  <w:num w:numId="6">
    <w:abstractNumId w:val="4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22"/>
    <w:rsid w:val="001821BA"/>
    <w:rsid w:val="00223828"/>
    <w:rsid w:val="002D1823"/>
    <w:rsid w:val="00304592"/>
    <w:rsid w:val="003C3984"/>
    <w:rsid w:val="003C4187"/>
    <w:rsid w:val="00405CFF"/>
    <w:rsid w:val="00417316"/>
    <w:rsid w:val="00421EEF"/>
    <w:rsid w:val="004774A1"/>
    <w:rsid w:val="004B6F4C"/>
    <w:rsid w:val="0055115A"/>
    <w:rsid w:val="00565F6F"/>
    <w:rsid w:val="005E085E"/>
    <w:rsid w:val="005E5EFA"/>
    <w:rsid w:val="00611502"/>
    <w:rsid w:val="006150B4"/>
    <w:rsid w:val="00651BE5"/>
    <w:rsid w:val="006A0BFA"/>
    <w:rsid w:val="006A426A"/>
    <w:rsid w:val="006A6E27"/>
    <w:rsid w:val="006F5461"/>
    <w:rsid w:val="0070326C"/>
    <w:rsid w:val="00706468"/>
    <w:rsid w:val="008E7EA7"/>
    <w:rsid w:val="00A034FE"/>
    <w:rsid w:val="00A80A76"/>
    <w:rsid w:val="00A80DFA"/>
    <w:rsid w:val="00AD0BEC"/>
    <w:rsid w:val="00AD10FB"/>
    <w:rsid w:val="00B02E54"/>
    <w:rsid w:val="00B6559D"/>
    <w:rsid w:val="00C12E4C"/>
    <w:rsid w:val="00C15BE2"/>
    <w:rsid w:val="00C53F32"/>
    <w:rsid w:val="00CE5B2D"/>
    <w:rsid w:val="00DC6759"/>
    <w:rsid w:val="00E70046"/>
    <w:rsid w:val="00E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22"/>
  </w:style>
  <w:style w:type="paragraph" w:styleId="Zpat">
    <w:name w:val="footer"/>
    <w:basedOn w:val="Normln"/>
    <w:link w:val="Zpat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22"/>
  </w:style>
  <w:style w:type="paragraph" w:styleId="Bezmezer">
    <w:name w:val="No Spacing"/>
    <w:link w:val="BezmezerChar"/>
    <w:uiPriority w:val="1"/>
    <w:qFormat/>
    <w:rsid w:val="00E85D2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85D22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85D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22"/>
  </w:style>
  <w:style w:type="paragraph" w:styleId="Zpat">
    <w:name w:val="footer"/>
    <w:basedOn w:val="Normln"/>
    <w:link w:val="Zpat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22"/>
  </w:style>
  <w:style w:type="paragraph" w:styleId="Bezmezer">
    <w:name w:val="No Spacing"/>
    <w:link w:val="BezmezerChar"/>
    <w:uiPriority w:val="1"/>
    <w:qFormat/>
    <w:rsid w:val="00E85D2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85D22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85D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1E61-EFAA-44E1-93AA-85EDAF07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2624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10</cp:revision>
  <cp:lastPrinted>2021-07-10T18:34:00Z</cp:lastPrinted>
  <dcterms:created xsi:type="dcterms:W3CDTF">2021-07-10T17:49:00Z</dcterms:created>
  <dcterms:modified xsi:type="dcterms:W3CDTF">2021-08-16T08:27:00Z</dcterms:modified>
</cp:coreProperties>
</file>